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365d" w:val="clear"/>
            <w:tcMar>
              <w:top w:w="280.0" w:type="dxa"/>
              <w:left w:w="280.0" w:type="dxa"/>
              <w:bottom w:w="280.0" w:type="dxa"/>
              <w:right w:w="280.0" w:type="dxa"/>
            </w:tcMar>
          </w:tcPr>
          <w:p w:rsidR="00000000" w:rsidDel="00000000" w:rsidP="00000000" w:rsidRDefault="00000000" w:rsidRPr="00000000" w14:paraId="00000002">
            <w:pPr>
              <w:spacing w:after="40" w:lineRule="auto"/>
              <w:jc w:val="center"/>
              <w:rPr/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ffffff"/>
                <w:sz w:val="44"/>
                <w:szCs w:val="44"/>
                <w:rtl w:val="0"/>
              </w:rPr>
              <w:t xml:space="preserve">SULFI S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i w:val="1"/>
                <w:iCs w:val="1"/>
                <w:color w:val="e0e6ed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e0e6ed"/>
                <w:sz w:val="24"/>
                <w:szCs w:val="24"/>
                <w:rtl w:val="0"/>
              </w:rPr>
              <w:t xml:space="preserve">Assistant Professor of Statistics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e0e6ed"/>
                <w:sz w:val="24"/>
                <w:szCs w:val="24"/>
                <w:rtl w:val="0"/>
              </w:rPr>
              <w:t xml:space="preserve"> Faculty Profile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pBdr>
          <w:bottom w:color="a0aab5" w:space="4" w:sz="6" w:val="single"/>
        </w:pBdr>
        <w:spacing w:after="120" w:before="320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b365d"/>
          <w:sz w:val="28"/>
          <w:szCs w:val="28"/>
          <w:rtl w:val="0"/>
        </w:rPr>
        <w:t xml:space="preserve">Personal &amp; Contact Details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center"/>
        <w:tblLayout w:type="fixed"/>
        <w:tblLook w:val="0400"/>
      </w:tblPr>
      <w:tblGrid>
        <w:gridCol w:w="3168"/>
        <w:gridCol w:w="6192"/>
        <w:tblGridChange w:id="0">
          <w:tblGrid>
            <w:gridCol w:w="3168"/>
            <w:gridCol w:w="61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6f9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1b365d"/>
                <w:rtl w:val="0"/>
              </w:rPr>
              <w:t xml:space="preserve">Department: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6f9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Statistics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color w:val="0b5394"/>
                <w:shd w:fill="0b5394" w:val="clear"/>
              </w:rPr>
            </w:pPr>
            <w:r w:rsidDel="00000000" w:rsidR="00000000" w:rsidRPr="00000000">
              <w:rPr>
                <w:b w:val="1"/>
                <w:bCs w:val="1"/>
                <w:color w:val="073763"/>
                <w:rtl w:val="0"/>
              </w:rPr>
              <w:t xml:space="preserve">Designation</w:t>
            </w:r>
            <w:r w:rsidDel="00000000" w:rsidR="00000000" w:rsidRPr="00000000">
              <w:rPr>
                <w:color w:val="0b5394"/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Assistant Professor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6f9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1b365d"/>
                <w:rtl w:val="0"/>
              </w:rPr>
              <w:t xml:space="preserve">Email 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6f9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sulfiansari@gmail.com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1b365d"/>
                <w:rtl w:val="0"/>
              </w:rPr>
              <w:t xml:space="preserve">Mobile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+91 9746841115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6f9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1b365d"/>
                <w:rtl w:val="0"/>
              </w:rPr>
              <w:t xml:space="preserve">Present 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4f6f9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Sulfi Manzil, Pallisserickal P.O., Sasthamcotta, Kollam District, PIN – 690521</w:t>
            </w:r>
          </w:p>
        </w:tc>
      </w:tr>
    </w:tbl>
    <w:p w:rsidR="00000000" w:rsidDel="00000000" w:rsidP="00000000" w:rsidRDefault="00000000" w:rsidRPr="00000000" w14:paraId="00000011">
      <w:pPr>
        <w:spacing w:after="40" w:before="160" w:lineRule="auto"/>
        <w:rPr/>
      </w:pPr>
      <w:r w:rsidDel="00000000" w:rsidR="00000000" w:rsidRPr="00000000">
        <w:rPr>
          <w:b w:val="1"/>
          <w:bCs w:val="1"/>
          <w:color w:val="1b365d"/>
          <w:rtl w:val="0"/>
        </w:rPr>
        <w:t xml:space="preserve">Permanent 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ind w:left="144" w:firstLine="0"/>
        <w:rPr/>
      </w:pPr>
      <w:r w:rsidDel="00000000" w:rsidR="00000000" w:rsidRPr="00000000">
        <w:rPr>
          <w:rtl w:val="0"/>
        </w:rPr>
        <w:t xml:space="preserve">Sulfi Manzil, Pallisserickal P.O., Sasthamcotta, Kollam District, PIN – 690521</w:t>
      </w:r>
    </w:p>
    <w:p w:rsidR="00000000" w:rsidDel="00000000" w:rsidP="00000000" w:rsidRDefault="00000000" w:rsidRPr="00000000" w14:paraId="00000013">
      <w:pPr>
        <w:keepNext w:val="1"/>
        <w:pBdr>
          <w:bottom w:color="a0aab5" w:space="4" w:sz="6" w:val="single"/>
        </w:pBdr>
        <w:spacing w:after="120" w:before="320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b365d"/>
          <w:sz w:val="28"/>
          <w:szCs w:val="28"/>
          <w:rtl w:val="0"/>
        </w:rPr>
        <w:t xml:space="preserve">Academic Background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B.Sc. Mathematics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(2007–2010)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M.Sc. Statistics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(2010–2012)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CSIR–UGC NET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(June 2017)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360" w:right="0" w:hanging="360"/>
        <w:jc w:val="left"/>
        <w:rPr>
          <w:i w:val="1"/>
          <w:iCs w:val="1"/>
          <w:u w:val="none"/>
        </w:rPr>
      </w:pPr>
      <w:r w:rsidDel="00000000" w:rsidR="00000000" w:rsidRPr="00000000">
        <w:rPr>
          <w:i w:val="1"/>
          <w:iCs w:val="1"/>
          <w:rtl w:val="0"/>
        </w:rPr>
        <w:t xml:space="preserve">Part time Research Scholar in University of Kerala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pBdr>
          <w:bottom w:color="a0aab5" w:space="4" w:sz="6" w:val="single"/>
        </w:pBdr>
        <w:spacing w:after="120" w:before="320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b365d"/>
          <w:sz w:val="28"/>
          <w:szCs w:val="28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center"/>
        <w:tblLayout w:type="fixed"/>
        <w:tblLook w:val="0400"/>
      </w:tblPr>
      <w:tblGrid>
        <w:gridCol w:w="2160"/>
        <w:gridCol w:w="4608"/>
        <w:gridCol w:w="2592"/>
        <w:tblGridChange w:id="0">
          <w:tblGrid>
            <w:gridCol w:w="2160"/>
            <w:gridCol w:w="4608"/>
            <w:gridCol w:w="2592"/>
          </w:tblGrid>
        </w:tblGridChange>
      </w:tblGrid>
      <w:tr>
        <w:trPr>
          <w:cantSplit w:val="0"/>
          <w:tblHeader w:val="0"/>
        </w:trPr>
        <w:tc>
          <w:tcPr>
            <w:shd w:fill="4a607a" w:val="clear"/>
            <w:tcMar>
              <w:top w:w="120.0" w:type="dxa"/>
              <w:left w:w="100.0" w:type="dxa"/>
              <w:bottom w:w="12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a607a" w:val="clear"/>
            <w:tcMar>
              <w:top w:w="120.0" w:type="dxa"/>
              <w:left w:w="100.0" w:type="dxa"/>
              <w:bottom w:w="12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Designation &amp; 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a607a" w:val="clear"/>
            <w:tcMar>
              <w:top w:w="120.0" w:type="dxa"/>
              <w:left w:w="100.0" w:type="dxa"/>
              <w:bottom w:w="12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jc w:val="right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Department/Organization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29/07/2024 – Onwards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Assistant Professor</w:t>
            </w:r>
          </w:p>
          <w:p w:rsidR="00000000" w:rsidDel="00000000" w:rsidP="00000000" w:rsidRDefault="00000000" w:rsidRPr="00000000" w14:paraId="0000001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Dept.  of Statistics</w:t>
              <w:br w:type="textWrapping"/>
              <w:t xml:space="preserve">Government College for Women, Thiruvananthapuram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Det. Of Collegiate  Education, Kerala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9faf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14/06/2023 – 24/07/2024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9faf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Assistant Professor</w:t>
            </w:r>
          </w:p>
          <w:p w:rsidR="00000000" w:rsidDel="00000000" w:rsidP="00000000" w:rsidRDefault="00000000" w:rsidRPr="00000000" w14:paraId="0000002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Dept. of Statistics</w:t>
              <w:br w:type="textWrapping"/>
              <w:t xml:space="preserve">GPM Govt. College, Manjeshwar</w:t>
            </w:r>
          </w:p>
        </w:tc>
        <w:tc>
          <w:tcPr>
            <w:shd w:fill="f9faf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Det. Of Collegiate  Education, Kerala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09/04/2015 – 13/06/2023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Statistical Investigator Gr 2</w:t>
            </w:r>
          </w:p>
          <w:p w:rsidR="00000000" w:rsidDel="00000000" w:rsidP="00000000" w:rsidRDefault="00000000" w:rsidRPr="00000000" w14:paraId="0000002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Department of Economics and Statistics (DES)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DES,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Govt. of Kerala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1"/>
        <w:pBdr>
          <w:bottom w:color="a0aab5" w:space="4" w:sz="6" w:val="single"/>
        </w:pBdr>
        <w:spacing w:after="120" w:before="320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b365d"/>
          <w:sz w:val="28"/>
          <w:szCs w:val="28"/>
          <w:rtl w:val="0"/>
        </w:rPr>
        <w:t xml:space="preserve">Academic &amp; Research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Areas of Interest: </w:t>
      </w:r>
      <w:r w:rsidDel="00000000" w:rsidR="00000000" w:rsidRPr="00000000">
        <w:rPr>
          <w:rtl w:val="0"/>
        </w:rPr>
        <w:t xml:space="preserve">Sampling Theory, Statistical Inference</w:t>
      </w:r>
    </w:p>
    <w:p w:rsidR="00000000" w:rsidDel="00000000" w:rsidP="00000000" w:rsidRDefault="00000000" w:rsidRPr="00000000" w14:paraId="0000002A">
      <w:pPr>
        <w:spacing w:after="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Subjects Handled: </w:t>
      </w:r>
      <w:r w:rsidDel="00000000" w:rsidR="00000000" w:rsidRPr="00000000">
        <w:rPr>
          <w:rtl w:val="0"/>
        </w:rPr>
        <w:t xml:space="preserve">Sampling Theory, Statistical Inference, Multivariate Analysis</w:t>
      </w:r>
    </w:p>
    <w:p w:rsidR="00000000" w:rsidDel="00000000" w:rsidP="00000000" w:rsidRDefault="00000000" w:rsidRPr="00000000" w14:paraId="0000002B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Field of Research / Guideship Details: </w:t>
      </w:r>
      <w:r w:rsidDel="00000000" w:rsidR="00000000" w:rsidRPr="00000000">
        <w:rPr>
          <w:i w:val="1"/>
          <w:iCs w:val="1"/>
          <w:rtl w:val="0"/>
        </w:rPr>
        <w:t xml:space="preserve">Nil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pBdr>
          <w:bottom w:color="a0aab5" w:space="4" w:sz="6" w:val="single"/>
        </w:pBdr>
        <w:spacing w:after="120" w:before="320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b365d"/>
          <w:sz w:val="28"/>
          <w:szCs w:val="28"/>
          <w:rtl w:val="0"/>
        </w:rPr>
        <w:t xml:space="preserve">Institutional &amp; Academic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Tutor of 2nd Year FYUGP Statistics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Member, Green Army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University Examination Invigilator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Paper Valuation Duty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pBdr>
          <w:bottom w:color="a0aab5" w:space="4" w:sz="6" w:val="single"/>
        </w:pBdr>
        <w:spacing w:after="120" w:before="320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b365d"/>
          <w:sz w:val="28"/>
          <w:szCs w:val="28"/>
          <w:rtl w:val="0"/>
        </w:rPr>
        <w:t xml:space="preserve">Seminars, Workshops &amp; Programs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Organized &amp; Attended: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National Seminar on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“Unveiling Data’s Hidden Treasure: A Statistical Approach to Big Data Analytics”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  <w:rtl w:val="0"/>
        </w:rPr>
        <w:t xml:space="preserve"> conducted at GPM Govt. College, Manjeshwar.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333333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